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Адміністрація </w:t>
      </w:r>
      <w:r>
        <w:rPr>
          <w:rFonts w:cs="Times New Roman" w:ascii="Times New Roman" w:hAnsi="Times New Roman"/>
          <w:sz w:val="28"/>
          <w:szCs w:val="28"/>
        </w:rPr>
        <w:t xml:space="preserve">Дмитрівського </w:t>
      </w:r>
      <w:r>
        <w:rPr>
          <w:rFonts w:cs="Times New Roman" w:ascii="Times New Roman" w:hAnsi="Times New Roman"/>
          <w:sz w:val="28"/>
          <w:szCs w:val="28"/>
        </w:rPr>
        <w:t xml:space="preserve">ліцею </w:t>
      </w:r>
      <w:r>
        <w:rPr>
          <w:rFonts w:cs="Times New Roman" w:ascii="Times New Roman" w:hAnsi="Times New Roman"/>
          <w:sz w:val="28"/>
          <w:szCs w:val="28"/>
        </w:rPr>
        <w:t xml:space="preserve">імені Т. Г. Шевченка </w:t>
      </w:r>
      <w:r>
        <w:rPr>
          <w:rFonts w:cs="Times New Roman" w:ascii="Times New Roman" w:hAnsi="Times New Roman"/>
          <w:sz w:val="28"/>
          <w:szCs w:val="28"/>
        </w:rPr>
        <w:t>детально проаналізувала стан освітньої мережі, зважаючи на демографічну ситуацію та безпекові виклики. Рішення щодо можливого призупинення освітньої діяльності Іванковецької філії Дмитрівського ліцею імені Т. Г. Шевченка ґрунтується на ключових факторах, які перелічуємо нижче.</w:t>
      </w:r>
    </w:p>
    <w:p>
      <w:pPr>
        <w:pStyle w:val="ListParagraph"/>
        <w:numPr>
          <w:ilvl w:val="0"/>
          <w:numId w:val="1"/>
        </w:numPr>
        <w:tabs>
          <w:tab w:val="clear" w:pos="708"/>
          <w:tab w:val="left" w:pos="284" w:leader="none"/>
        </w:tabs>
        <w:spacing w:lineRule="auto" w:line="276" w:before="0" w:after="0"/>
        <w:ind w:left="0" w:hanging="0"/>
        <w:contextualSpacing/>
        <w:jc w:val="both"/>
        <w:rPr>
          <w:rFonts w:ascii="Times New Roman" w:hAnsi="Times New Roman" w:cs="Times New Roman"/>
          <w:sz w:val="28"/>
          <w:szCs w:val="28"/>
        </w:rPr>
      </w:pPr>
      <w:r>
        <w:rPr>
          <w:rFonts w:cs="Times New Roman" w:ascii="Times New Roman" w:hAnsi="Times New Roman"/>
          <w:b/>
          <w:bCs/>
          <w:sz w:val="28"/>
          <w:szCs w:val="28"/>
        </w:rPr>
        <w:t>Забезпечення права на якісну освіту та соціалізацію.</w:t>
      </w:r>
      <w:r>
        <w:rPr>
          <w:rFonts w:cs="Times New Roman" w:ascii="Times New Roman" w:hAnsi="Times New Roman"/>
          <w:sz w:val="28"/>
          <w:szCs w:val="28"/>
        </w:rPr>
        <w:t xml:space="preserve"> Станом на 19 травня 2026 року у філії навчається 44 учні, з яких 35 учнів навчаються очно, 8 учнів перебувають на екстернатній формі навчання, один учень – на сімейній формі навчання.</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19.05.2026 року в Іванковецькій філії склалась наступна ситуація по наповнюваності класів:</w:t>
      </w:r>
    </w:p>
    <w:tbl>
      <w:tblPr>
        <w:tblStyle w:val="af0"/>
        <w:tblW w:w="827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308"/>
        <w:gridCol w:w="2773"/>
        <w:gridCol w:w="3189"/>
      </w:tblGrid>
      <w:tr>
        <w:trPr>
          <w:trHeight w:val="346" w:hRule="atLeast"/>
        </w:trPr>
        <w:tc>
          <w:tcPr>
            <w:tcW w:w="2308" w:type="dxa"/>
            <w:vMerge w:val="restart"/>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Класи</w:t>
            </w:r>
          </w:p>
        </w:tc>
        <w:tc>
          <w:tcPr>
            <w:tcW w:w="5962" w:type="dxa"/>
            <w:gridSpan w:val="2"/>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 xml:space="preserve">                               </w:t>
            </w:r>
            <w:r>
              <w:rPr>
                <w:rFonts w:eastAsia="Calibri" w:cs="Times New Roman" w:ascii="Times New Roman" w:hAnsi="Times New Roman"/>
                <w:kern w:val="0"/>
                <w:sz w:val="28"/>
                <w:szCs w:val="28"/>
                <w:lang w:val="uk-UA" w:eastAsia="en-US" w:bidi="ar-SA"/>
              </w:rPr>
              <w:t>Кількість учнів</w:t>
            </w:r>
          </w:p>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tc>
      </w:tr>
      <w:tr>
        <w:trPr>
          <w:trHeight w:val="307" w:hRule="atLeast"/>
        </w:trPr>
        <w:tc>
          <w:tcPr>
            <w:tcW w:w="2308" w:type="dxa"/>
            <w:vMerge w:val="continue"/>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 xml:space="preserve">  </w:t>
            </w:r>
            <w:r>
              <w:rPr>
                <w:rFonts w:eastAsia="Calibri" w:cs="Times New Roman" w:ascii="Times New Roman" w:hAnsi="Times New Roman"/>
                <w:kern w:val="0"/>
                <w:sz w:val="28"/>
                <w:szCs w:val="28"/>
                <w:lang w:val="uk-UA" w:eastAsia="en-US" w:bidi="ar-SA"/>
              </w:rPr>
              <w:t>на 19.05.2026р.</w:t>
            </w:r>
          </w:p>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прогнозована кількість учнів на 01.09.2026р.</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1</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b/>
                <w:bCs/>
                <w:kern w:val="0"/>
                <w:sz w:val="28"/>
                <w:szCs w:val="28"/>
                <w:lang w:val="uk-UA" w:eastAsia="en-US" w:bidi="ar-SA"/>
              </w:rPr>
              <w:t>5</w:t>
            </w:r>
            <w:r>
              <w:rPr>
                <w:rFonts w:eastAsia="Calibri" w:cs="Times New Roman" w:ascii="Times New Roman" w:hAnsi="Times New Roman"/>
                <w:kern w:val="0"/>
                <w:sz w:val="28"/>
                <w:szCs w:val="28"/>
                <w:lang w:val="uk-UA" w:eastAsia="en-US" w:bidi="ar-SA"/>
              </w:rPr>
              <w:t>+1 екст.</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2</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rPr>
            </w:pPr>
            <w:r>
              <w:rPr>
                <w:rFonts w:eastAsia="Calibri" w:cs="Times New Roman" w:ascii="Times New Roman" w:hAnsi="Times New Roman"/>
                <w:b/>
                <w:bCs/>
                <w:kern w:val="0"/>
                <w:sz w:val="28"/>
                <w:szCs w:val="28"/>
                <w:lang w:val="uk-UA" w:eastAsia="en-US" w:bidi="ar-SA"/>
              </w:rPr>
              <w:t>4</w:t>
            </w:r>
            <w:r>
              <w:rPr>
                <w:rFonts w:eastAsia="Calibri" w:cs="Times New Roman" w:ascii="Times New Roman" w:hAnsi="Times New Roman"/>
                <w:kern w:val="0"/>
                <w:sz w:val="28"/>
                <w:szCs w:val="28"/>
                <w:lang w:val="uk-UA" w:eastAsia="en-US" w:bidi="ar-SA"/>
              </w:rPr>
              <w:t>+1 екст.</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rPr>
            </w:pPr>
            <w:r>
              <w:rPr>
                <w:rFonts w:eastAsia="Calibri" w:cs="Times New Roman" w:ascii="Times New Roman" w:hAnsi="Times New Roman"/>
                <w:b/>
                <w:bCs/>
                <w:kern w:val="0"/>
                <w:sz w:val="28"/>
                <w:szCs w:val="28"/>
                <w:lang w:val="uk-UA" w:eastAsia="en-US" w:bidi="ar-SA"/>
              </w:rPr>
              <w:t>5</w:t>
            </w:r>
            <w:r>
              <w:rPr>
                <w:rFonts w:eastAsia="Calibri" w:cs="Times New Roman" w:ascii="Times New Roman" w:hAnsi="Times New Roman"/>
                <w:kern w:val="0"/>
                <w:sz w:val="28"/>
                <w:szCs w:val="28"/>
                <w:lang w:val="uk-UA" w:eastAsia="en-US" w:bidi="ar-SA"/>
              </w:rPr>
              <w:t>+1 екст.</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lang w:val="uk-UA"/>
              </w:rPr>
            </w:pPr>
            <w:r>
              <w:rPr>
                <w:rFonts w:eastAsia="Calibri" w:cs="Times New Roman" w:ascii="Times New Roman" w:hAnsi="Times New Roman"/>
                <w:color w:val="C9211E"/>
                <w:kern w:val="0"/>
                <w:sz w:val="28"/>
                <w:szCs w:val="28"/>
                <w:lang w:val="uk-UA" w:eastAsia="en-US" w:bidi="ar-SA"/>
              </w:rPr>
              <w:t>3</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rPr>
            </w:pPr>
            <w:r>
              <w:rPr>
                <w:rFonts w:eastAsia="Calibri" w:cs="Times New Roman" w:ascii="Times New Roman" w:hAnsi="Times New Roman"/>
                <w:b/>
                <w:bCs/>
                <w:color w:val="C9211E"/>
                <w:kern w:val="0"/>
                <w:sz w:val="28"/>
                <w:szCs w:val="28"/>
                <w:lang w:val="uk-UA" w:eastAsia="en-US" w:bidi="ar-SA"/>
              </w:rPr>
              <w:t>4</w:t>
            </w:r>
            <w:r>
              <w:rPr>
                <w:rFonts w:eastAsia="Calibri" w:cs="Times New Roman" w:ascii="Times New Roman" w:hAnsi="Times New Roman"/>
                <w:color w:val="C9211E"/>
                <w:kern w:val="0"/>
                <w:sz w:val="28"/>
                <w:szCs w:val="28"/>
                <w:lang w:val="uk-UA" w:eastAsia="en-US" w:bidi="ar-SA"/>
              </w:rPr>
              <w:t xml:space="preserve">+1 сім. </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rPr>
            </w:pPr>
            <w:r>
              <w:rPr>
                <w:rFonts w:eastAsia="Calibri" w:cs="Times New Roman" w:ascii="Times New Roman" w:hAnsi="Times New Roman"/>
                <w:b/>
                <w:bCs/>
                <w:color w:val="C9211E"/>
                <w:kern w:val="0"/>
                <w:sz w:val="28"/>
                <w:szCs w:val="28"/>
                <w:lang w:val="uk-UA" w:eastAsia="en-US" w:bidi="ar-SA"/>
              </w:rPr>
              <w:t>4</w:t>
            </w:r>
            <w:r>
              <w:rPr>
                <w:rFonts w:eastAsia="Calibri" w:cs="Times New Roman" w:ascii="Times New Roman" w:hAnsi="Times New Roman"/>
                <w:color w:val="C9211E"/>
                <w:kern w:val="0"/>
                <w:sz w:val="28"/>
                <w:szCs w:val="28"/>
                <w:lang w:val="uk-UA" w:eastAsia="en-US" w:bidi="ar-SA"/>
              </w:rPr>
              <w:t>+1 екст.</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lang w:val="uk-UA"/>
              </w:rPr>
            </w:pPr>
            <w:r>
              <w:rPr>
                <w:rFonts w:eastAsia="Calibri" w:cs="Times New Roman" w:ascii="Times New Roman" w:hAnsi="Times New Roman"/>
                <w:color w:val="C9211E"/>
                <w:kern w:val="0"/>
                <w:sz w:val="28"/>
                <w:szCs w:val="28"/>
                <w:lang w:val="uk-UA" w:eastAsia="en-US" w:bidi="ar-SA"/>
              </w:rPr>
              <w:t>4</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rPr>
            </w:pPr>
            <w:r>
              <w:rPr>
                <w:rFonts w:eastAsia="Calibri" w:cs="Times New Roman" w:ascii="Times New Roman" w:hAnsi="Times New Roman"/>
                <w:b/>
                <w:bCs/>
                <w:color w:val="C9211E"/>
                <w:kern w:val="0"/>
                <w:sz w:val="28"/>
                <w:szCs w:val="28"/>
                <w:lang w:val="uk-UA" w:eastAsia="en-US" w:bidi="ar-SA"/>
              </w:rPr>
              <w:t>4</w:t>
            </w:r>
            <w:r>
              <w:rPr>
                <w:rFonts w:eastAsia="Calibri" w:cs="Times New Roman" w:ascii="Times New Roman" w:hAnsi="Times New Roman"/>
                <w:color w:val="C9211E"/>
                <w:kern w:val="0"/>
                <w:sz w:val="28"/>
                <w:szCs w:val="28"/>
                <w:lang w:val="uk-UA" w:eastAsia="en-US" w:bidi="ar-SA"/>
              </w:rPr>
              <w:t>+1 екст.</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rPr>
            </w:pPr>
            <w:r>
              <w:rPr>
                <w:rFonts w:eastAsia="Calibri" w:cs="Times New Roman" w:ascii="Times New Roman" w:hAnsi="Times New Roman"/>
                <w:b/>
                <w:bCs/>
                <w:color w:val="C9211E"/>
                <w:kern w:val="0"/>
                <w:sz w:val="28"/>
                <w:szCs w:val="28"/>
                <w:lang w:val="uk-UA" w:eastAsia="en-US" w:bidi="ar-SA"/>
              </w:rPr>
              <w:t>4</w:t>
            </w:r>
            <w:r>
              <w:rPr>
                <w:rFonts w:eastAsia="Calibri" w:cs="Times New Roman" w:ascii="Times New Roman" w:hAnsi="Times New Roman"/>
                <w:color w:val="C9211E"/>
                <w:kern w:val="0"/>
                <w:sz w:val="28"/>
                <w:szCs w:val="28"/>
                <w:lang w:val="uk-UA" w:eastAsia="en-US" w:bidi="ar-SA"/>
              </w:rPr>
              <w:t xml:space="preserve">+1 сім.  </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lang w:val="uk-UA"/>
              </w:rPr>
            </w:pPr>
            <w:r>
              <w:rPr>
                <w:rFonts w:eastAsia="Calibri" w:cs="Times New Roman" w:ascii="Times New Roman" w:hAnsi="Times New Roman"/>
                <w:color w:val="C9211E"/>
                <w:kern w:val="0"/>
                <w:sz w:val="28"/>
                <w:szCs w:val="28"/>
                <w:lang w:val="uk-UA" w:eastAsia="en-US" w:bidi="ar-SA"/>
              </w:rPr>
              <w:t>5</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rPr>
            </w:pPr>
            <w:r>
              <w:rPr>
                <w:rFonts w:eastAsia="Calibri" w:cs="Times New Roman" w:ascii="Times New Roman" w:hAnsi="Times New Roman"/>
                <w:b/>
                <w:bCs/>
                <w:color w:val="C9211E"/>
                <w:kern w:val="0"/>
                <w:sz w:val="28"/>
                <w:szCs w:val="28"/>
                <w:lang w:val="uk-UA" w:eastAsia="en-US" w:bidi="ar-SA"/>
              </w:rPr>
              <w:t>2</w:t>
            </w:r>
            <w:r>
              <w:rPr>
                <w:rFonts w:eastAsia="Calibri" w:cs="Times New Roman" w:ascii="Times New Roman" w:hAnsi="Times New Roman"/>
                <w:color w:val="C9211E"/>
                <w:kern w:val="0"/>
                <w:sz w:val="28"/>
                <w:szCs w:val="28"/>
                <w:lang w:val="uk-UA" w:eastAsia="en-US" w:bidi="ar-SA"/>
              </w:rPr>
              <w:t>+1 екст.</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rPr>
            </w:pPr>
            <w:r>
              <w:rPr>
                <w:rFonts w:eastAsia="Calibri" w:cs="Times New Roman" w:ascii="Times New Roman" w:hAnsi="Times New Roman"/>
                <w:b/>
                <w:bCs/>
                <w:color w:val="C9211E"/>
                <w:kern w:val="0"/>
                <w:sz w:val="28"/>
                <w:szCs w:val="28"/>
                <w:lang w:val="uk-UA" w:eastAsia="en-US" w:bidi="ar-SA"/>
              </w:rPr>
              <w:t>3</w:t>
            </w:r>
            <w:r>
              <w:rPr>
                <w:rFonts w:eastAsia="Calibri" w:cs="Times New Roman" w:ascii="Times New Roman" w:hAnsi="Times New Roman"/>
                <w:color w:val="C9211E"/>
                <w:kern w:val="0"/>
                <w:sz w:val="28"/>
                <w:szCs w:val="28"/>
                <w:lang w:val="uk-UA" w:eastAsia="en-US" w:bidi="ar-SA"/>
              </w:rPr>
              <w:t>+1 екст.</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lang w:val="uk-UA"/>
              </w:rPr>
            </w:pPr>
            <w:r>
              <w:rPr>
                <w:rFonts w:eastAsia="Calibri" w:cs="Times New Roman" w:ascii="Times New Roman" w:hAnsi="Times New Roman"/>
                <w:color w:val="C9211E"/>
                <w:kern w:val="0"/>
                <w:sz w:val="28"/>
                <w:szCs w:val="28"/>
                <w:lang w:val="uk-UA" w:eastAsia="en-US" w:bidi="ar-SA"/>
              </w:rPr>
              <w:t>6</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lang w:val="uk-UA"/>
              </w:rPr>
            </w:pPr>
            <w:r>
              <w:rPr>
                <w:rFonts w:eastAsia="Calibri" w:cs="Times New Roman" w:ascii="Times New Roman" w:hAnsi="Times New Roman"/>
                <w:color w:val="C9211E"/>
                <w:kern w:val="0"/>
                <w:sz w:val="28"/>
                <w:szCs w:val="28"/>
                <w:lang w:val="uk-UA" w:eastAsia="en-US" w:bidi="ar-SA"/>
              </w:rPr>
              <w:t>-----------</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color w:val="C9211E"/>
                <w:sz w:val="28"/>
                <w:szCs w:val="28"/>
              </w:rPr>
            </w:pPr>
            <w:r>
              <w:rPr>
                <w:rFonts w:eastAsia="Calibri" w:cs="Times New Roman" w:ascii="Times New Roman" w:hAnsi="Times New Roman"/>
                <w:b/>
                <w:bCs/>
                <w:color w:val="C9211E"/>
                <w:kern w:val="0"/>
                <w:sz w:val="28"/>
                <w:szCs w:val="28"/>
                <w:lang w:val="uk-UA" w:eastAsia="en-US" w:bidi="ar-SA"/>
              </w:rPr>
              <w:t>2</w:t>
            </w:r>
            <w:r>
              <w:rPr>
                <w:rFonts w:eastAsia="Calibri" w:cs="Times New Roman" w:ascii="Times New Roman" w:hAnsi="Times New Roman"/>
                <w:color w:val="C9211E"/>
                <w:kern w:val="0"/>
                <w:sz w:val="28"/>
                <w:szCs w:val="28"/>
                <w:lang w:val="uk-UA" w:eastAsia="en-US" w:bidi="ar-SA"/>
              </w:rPr>
              <w:t>+1 екст.</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7</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b/>
                <w:bCs/>
                <w:kern w:val="0"/>
                <w:sz w:val="28"/>
                <w:szCs w:val="28"/>
                <w:lang w:val="uk-UA" w:eastAsia="en-US" w:bidi="ar-SA"/>
              </w:rPr>
              <w:t>7</w:t>
            </w:r>
            <w:r>
              <w:rPr>
                <w:rFonts w:eastAsia="Calibri" w:cs="Times New Roman" w:ascii="Times New Roman" w:hAnsi="Times New Roman"/>
                <w:kern w:val="0"/>
                <w:sz w:val="28"/>
                <w:szCs w:val="28"/>
                <w:lang w:val="uk-UA" w:eastAsia="en-US" w:bidi="ar-SA"/>
              </w:rPr>
              <w:t>+1 екст.</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8</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b/>
                <w:bCs/>
                <w:kern w:val="0"/>
                <w:sz w:val="28"/>
                <w:szCs w:val="28"/>
                <w:lang w:val="uk-UA" w:eastAsia="en-US" w:bidi="ar-SA"/>
              </w:rPr>
              <w:t>5</w:t>
            </w:r>
            <w:r>
              <w:rPr>
                <w:rFonts w:eastAsia="Calibri" w:cs="Times New Roman" w:ascii="Times New Roman" w:hAnsi="Times New Roman"/>
                <w:kern w:val="0"/>
                <w:sz w:val="28"/>
                <w:szCs w:val="28"/>
                <w:lang w:val="uk-UA" w:eastAsia="en-US" w:bidi="ar-SA"/>
              </w:rPr>
              <w:t>+1 екст.</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b/>
                <w:bCs/>
                <w:kern w:val="0"/>
                <w:sz w:val="28"/>
                <w:szCs w:val="28"/>
                <w:lang w:val="uk-UA" w:eastAsia="en-US" w:bidi="ar-SA"/>
              </w:rPr>
              <w:t>7</w:t>
            </w:r>
            <w:r>
              <w:rPr>
                <w:rFonts w:eastAsia="Calibri" w:cs="Times New Roman" w:ascii="Times New Roman" w:hAnsi="Times New Roman"/>
                <w:kern w:val="0"/>
                <w:sz w:val="28"/>
                <w:szCs w:val="28"/>
                <w:lang w:val="uk-UA" w:eastAsia="en-US" w:bidi="ar-SA"/>
              </w:rPr>
              <w:t>+1 екст.</w:t>
            </w:r>
          </w:p>
        </w:tc>
      </w:tr>
      <w:tr>
        <w:trPr/>
        <w:tc>
          <w:tcPr>
            <w:tcW w:w="2308"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9</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b/>
                <w:bCs/>
                <w:kern w:val="0"/>
                <w:sz w:val="28"/>
                <w:szCs w:val="28"/>
                <w:lang w:val="uk-UA" w:eastAsia="en-US" w:bidi="ar-SA"/>
              </w:rPr>
              <w:t>4</w:t>
            </w:r>
            <w:r>
              <w:rPr>
                <w:rFonts w:eastAsia="Calibri" w:cs="Times New Roman" w:ascii="Times New Roman" w:hAnsi="Times New Roman"/>
                <w:kern w:val="0"/>
                <w:sz w:val="28"/>
                <w:szCs w:val="28"/>
                <w:lang w:val="uk-UA" w:eastAsia="en-US" w:bidi="ar-SA"/>
              </w:rPr>
              <w:t>+2 екст.</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b/>
                <w:bCs/>
                <w:kern w:val="0"/>
                <w:sz w:val="28"/>
                <w:szCs w:val="28"/>
                <w:lang w:val="uk-UA" w:eastAsia="en-US" w:bidi="ar-SA"/>
              </w:rPr>
              <w:t>5</w:t>
            </w:r>
            <w:r>
              <w:rPr>
                <w:rFonts w:eastAsia="Calibri" w:cs="Times New Roman" w:ascii="Times New Roman" w:hAnsi="Times New Roman"/>
                <w:kern w:val="0"/>
                <w:sz w:val="28"/>
                <w:szCs w:val="28"/>
                <w:lang w:val="uk-UA" w:eastAsia="en-US" w:bidi="ar-SA"/>
              </w:rPr>
              <w:t>+1 екст.</w:t>
            </w:r>
          </w:p>
        </w:tc>
      </w:tr>
      <w:tr>
        <w:trPr>
          <w:trHeight w:val="266" w:hRule="atLeast"/>
        </w:trPr>
        <w:tc>
          <w:tcPr>
            <w:tcW w:w="2308" w:type="dxa"/>
            <w:tcBorders/>
          </w:tcPr>
          <w:p>
            <w:pPr>
              <w:pStyle w:val="Normal"/>
              <w:widowControl w:val="false"/>
              <w:suppressAutoHyphens w:val="true"/>
              <w:spacing w:lineRule="auto" w:line="240" w:before="0" w:after="0"/>
              <w:jc w:val="both"/>
              <w:rPr>
                <w:rFonts w:ascii="Times New Roman" w:hAnsi="Times New Roman" w:eastAsia="Calibri" w:cs="Times New Roman"/>
                <w:b/>
                <w:b/>
                <w:bCs/>
                <w:color w:val="272727"/>
                <w:kern w:val="0"/>
                <w:sz w:val="28"/>
                <w:szCs w:val="28"/>
                <w:highlight w:val="none"/>
                <w:shd w:fill="FFFF00" w:val="clear"/>
                <w:lang w:val="uk-UA" w:eastAsia="en-US" w:bidi="ar-SA"/>
              </w:rPr>
            </w:pPr>
            <w:r>
              <w:rPr>
                <w:rFonts w:eastAsia="Calibri" w:cs="Times New Roman" w:ascii="Times New Roman" w:hAnsi="Times New Roman"/>
                <w:b/>
                <w:bCs/>
                <w:color w:val="272727"/>
                <w:kern w:val="0"/>
                <w:sz w:val="28"/>
                <w:szCs w:val="28"/>
                <w:shd w:fill="FFFF00" w:val="clear"/>
                <w:lang w:val="uk-UA" w:eastAsia="en-US" w:bidi="ar-SA"/>
              </w:rPr>
              <w:t>Очна форма</w:t>
            </w:r>
          </w:p>
        </w:tc>
        <w:tc>
          <w:tcPr>
            <w:tcW w:w="2773" w:type="dxa"/>
            <w:tcBorders/>
          </w:tcPr>
          <w:p>
            <w:pPr>
              <w:pStyle w:val="Normal"/>
              <w:widowControl w:val="false"/>
              <w:suppressAutoHyphens w:val="true"/>
              <w:spacing w:lineRule="auto" w:line="240" w:before="0" w:after="0"/>
              <w:jc w:val="both"/>
              <w:rPr>
                <w:rFonts w:ascii="Times New Roman" w:hAnsi="Times New Roman" w:eastAsia="Calibri" w:cs="Times New Roman"/>
                <w:b/>
                <w:b/>
                <w:bCs/>
                <w:color w:val="272727"/>
                <w:kern w:val="0"/>
                <w:sz w:val="28"/>
                <w:szCs w:val="28"/>
                <w:highlight w:val="none"/>
                <w:shd w:fill="FFFF00" w:val="clear"/>
                <w:lang w:val="uk-UA" w:eastAsia="en-US" w:bidi="ar-SA"/>
              </w:rPr>
            </w:pPr>
            <w:r>
              <w:rPr>
                <w:rFonts w:eastAsia="Calibri" w:cs="Times New Roman" w:ascii="Times New Roman" w:hAnsi="Times New Roman"/>
                <w:b/>
                <w:bCs/>
                <w:color w:val="272727"/>
                <w:kern w:val="0"/>
                <w:sz w:val="28"/>
                <w:szCs w:val="28"/>
                <w:shd w:fill="FFFF00" w:val="clear"/>
                <w:lang w:val="uk-UA" w:eastAsia="en-US" w:bidi="ar-SA"/>
              </w:rPr>
              <w:t xml:space="preserve">    </w:t>
            </w:r>
            <w:r>
              <w:rPr>
                <w:rFonts w:eastAsia="Calibri" w:cs="Times New Roman" w:ascii="Times New Roman" w:hAnsi="Times New Roman"/>
                <w:b/>
                <w:bCs/>
                <w:color w:val="272727"/>
                <w:kern w:val="0"/>
                <w:sz w:val="28"/>
                <w:szCs w:val="28"/>
                <w:shd w:fill="FFFF00" w:val="clear"/>
                <w:lang w:val="uk-UA" w:eastAsia="en-US" w:bidi="ar-SA"/>
              </w:rPr>
              <w:t xml:space="preserve">35 </w:t>
            </w:r>
          </w:p>
        </w:tc>
        <w:tc>
          <w:tcPr>
            <w:tcW w:w="3189" w:type="dxa"/>
            <w:tcBorders/>
          </w:tcPr>
          <w:p>
            <w:pPr>
              <w:pStyle w:val="Normal"/>
              <w:widowControl w:val="false"/>
              <w:suppressAutoHyphens w:val="true"/>
              <w:spacing w:lineRule="auto" w:line="240" w:before="0" w:after="0"/>
              <w:jc w:val="both"/>
              <w:rPr>
                <w:rFonts w:ascii="Times New Roman" w:hAnsi="Times New Roman" w:eastAsia="Calibri" w:cs="Times New Roman"/>
                <w:b/>
                <w:b/>
                <w:bCs/>
                <w:color w:val="272727"/>
                <w:kern w:val="0"/>
                <w:sz w:val="28"/>
                <w:szCs w:val="28"/>
                <w:highlight w:val="none"/>
                <w:shd w:fill="FFFF00" w:val="clear"/>
                <w:lang w:val="uk-UA" w:eastAsia="en-US" w:bidi="ar-SA"/>
              </w:rPr>
            </w:pPr>
            <w:r>
              <w:rPr>
                <w:rFonts w:eastAsia="Calibri" w:cs="Times New Roman" w:ascii="Times New Roman" w:hAnsi="Times New Roman"/>
                <w:b/>
                <w:bCs/>
                <w:color w:val="272727"/>
                <w:kern w:val="0"/>
                <w:sz w:val="28"/>
                <w:szCs w:val="28"/>
                <w:shd w:fill="FFFF00" w:val="clear"/>
                <w:lang w:val="uk-UA" w:eastAsia="en-US" w:bidi="ar-SA"/>
              </w:rPr>
              <w:t xml:space="preserve">     </w:t>
            </w:r>
            <w:r>
              <w:rPr>
                <w:rFonts w:eastAsia="Calibri" w:cs="Times New Roman" w:ascii="Times New Roman" w:hAnsi="Times New Roman"/>
                <w:b/>
                <w:bCs/>
                <w:color w:val="272727"/>
                <w:kern w:val="0"/>
                <w:sz w:val="28"/>
                <w:szCs w:val="28"/>
                <w:shd w:fill="FFFF00" w:val="clear"/>
                <w:lang w:val="uk-UA" w:eastAsia="en-US" w:bidi="ar-SA"/>
              </w:rPr>
              <w:t xml:space="preserve">30 </w:t>
            </w:r>
          </w:p>
        </w:tc>
      </w:tr>
      <w:tr>
        <w:trPr>
          <w:trHeight w:val="374" w:hRule="atLeast"/>
        </w:trPr>
        <w:tc>
          <w:tcPr>
            <w:tcW w:w="2308"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Екстернатна фор.</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 xml:space="preserve">    </w:t>
            </w:r>
            <w:r>
              <w:rPr>
                <w:rFonts w:eastAsia="Calibri" w:cs="Times New Roman" w:ascii="Times New Roman" w:hAnsi="Times New Roman"/>
                <w:kern w:val="0"/>
                <w:sz w:val="28"/>
                <w:szCs w:val="28"/>
                <w:lang w:val="uk-UA" w:eastAsia="en-US" w:bidi="ar-SA"/>
              </w:rPr>
              <w:t>8</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 xml:space="preserve">     </w:t>
            </w:r>
            <w:r>
              <w:rPr>
                <w:rFonts w:eastAsia="Calibri" w:cs="Times New Roman" w:ascii="Times New Roman" w:hAnsi="Times New Roman"/>
                <w:kern w:val="0"/>
                <w:sz w:val="28"/>
                <w:szCs w:val="28"/>
                <w:lang w:val="uk-UA" w:eastAsia="en-US" w:bidi="ar-SA"/>
              </w:rPr>
              <w:t>6</w:t>
            </w:r>
          </w:p>
        </w:tc>
      </w:tr>
      <w:tr>
        <w:trPr>
          <w:trHeight w:val="334" w:hRule="atLeast"/>
        </w:trPr>
        <w:tc>
          <w:tcPr>
            <w:tcW w:w="2308"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Сімейна форма</w:t>
            </w:r>
          </w:p>
        </w:tc>
        <w:tc>
          <w:tcPr>
            <w:tcW w:w="2773"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 xml:space="preserve">    </w:t>
            </w:r>
            <w:r>
              <w:rPr>
                <w:rFonts w:eastAsia="Calibri" w:cs="Times New Roman" w:ascii="Times New Roman" w:hAnsi="Times New Roman"/>
                <w:kern w:val="0"/>
                <w:sz w:val="28"/>
                <w:szCs w:val="28"/>
                <w:lang w:val="uk-UA" w:eastAsia="en-US" w:bidi="ar-SA"/>
              </w:rPr>
              <w:t>1</w:t>
            </w:r>
          </w:p>
        </w:tc>
        <w:tc>
          <w:tcPr>
            <w:tcW w:w="3189" w:type="dxa"/>
            <w:tcBorders/>
          </w:tcPr>
          <w:p>
            <w:pPr>
              <w:pStyle w:val="Normal"/>
              <w:widowControl w:val="false"/>
              <w:suppressAutoHyphens w:val="true"/>
              <w:spacing w:lineRule="auto" w:line="240" w:before="0" w:after="0"/>
              <w:jc w:val="both"/>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 xml:space="preserve">     </w:t>
            </w:r>
            <w:r>
              <w:rPr>
                <w:rFonts w:eastAsia="Calibri" w:cs="Times New Roman" w:ascii="Times New Roman" w:hAnsi="Times New Roman"/>
                <w:kern w:val="0"/>
                <w:sz w:val="28"/>
                <w:szCs w:val="28"/>
                <w:lang w:val="uk-UA" w:eastAsia="en-US" w:bidi="ar-SA"/>
              </w:rPr>
              <w:t xml:space="preserve">1 </w:t>
            </w:r>
          </w:p>
        </w:tc>
      </w:tr>
    </w:tbl>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Відсутність 6 класу свідчить про значне погіршення демографічної ситуації на  цій території. У 2026-2027 н. р. у Іванковецькій філії не набирається 1 клас, випускається 9 клас, 1 учень 4 класу переходить на навчання до Дмитрівського ліцею імені Т. Г. Шевченка (є заява батьків). Тому орієнтовна кількість здобувачів освіти Іванковецької філії у 2026-2027 н. р. становить 30 учнів на очній формі навчання.</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У 2025-2026 навчальному році освітній процес у філії забезпечують </w:t>
      </w:r>
      <w:r>
        <w:rPr>
          <w:rFonts w:cs="Times New Roman" w:ascii="Times New Roman" w:hAnsi="Times New Roman"/>
          <w:b/>
          <w:bCs/>
          <w:sz w:val="28"/>
          <w:szCs w:val="28"/>
        </w:rPr>
        <w:t>14 педагогічних працівників</w:t>
      </w:r>
      <w:r>
        <w:rPr>
          <w:rFonts w:cs="Times New Roman" w:ascii="Times New Roman" w:hAnsi="Times New Roman"/>
          <w:sz w:val="28"/>
          <w:szCs w:val="28"/>
        </w:rPr>
        <w:t>. Аналіз відповідності їхньої фахової освіти та прогноз кадрового забезпечення на наступний період свідчать про таке:</w:t>
      </w:r>
    </w:p>
    <w:p>
      <w:pPr>
        <w:pStyle w:val="Normal"/>
        <w:spacing w:lineRule="auto" w:line="276" w:before="0" w:after="0"/>
        <w:jc w:val="both"/>
        <w:rPr>
          <w:rFonts w:ascii="Times New Roman" w:hAnsi="Times New Roman" w:cs="Times New Roman"/>
          <w:b/>
          <w:b/>
          <w:bCs/>
          <w:sz w:val="28"/>
          <w:szCs w:val="28"/>
        </w:rPr>
      </w:pPr>
      <w:r>
        <w:rPr>
          <w:rFonts w:cs="Times New Roman" w:ascii="Times New Roman" w:hAnsi="Times New Roman"/>
          <w:b/>
          <w:bCs/>
          <w:sz w:val="28"/>
          <w:szCs w:val="28"/>
        </w:rPr>
        <w:t>Поточний стан викладання предметів (2025-2026 н.р.)</w:t>
      </w:r>
    </w:p>
    <w:p>
      <w:pPr>
        <w:pStyle w:val="Normal"/>
        <w:numPr>
          <w:ilvl w:val="0"/>
          <w:numId w:val="2"/>
        </w:numPr>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За фахом</w:t>
      </w:r>
      <w:r>
        <w:rPr>
          <w:rFonts w:cs="Times New Roman" w:ascii="Times New Roman" w:hAnsi="Times New Roman"/>
          <w:sz w:val="28"/>
          <w:szCs w:val="28"/>
        </w:rPr>
        <w:t xml:space="preserve"> викладаються: українська мова та література, математика, фізика, історія, правознавство, хімія, біологія, географія, зарубіжна література, фізична культура та предмети початкової школи.</w:t>
      </w:r>
    </w:p>
    <w:p>
      <w:pPr>
        <w:pStyle w:val="Normal"/>
        <w:numPr>
          <w:ilvl w:val="0"/>
          <w:numId w:val="2"/>
        </w:numPr>
        <w:tabs>
          <w:tab w:val="clear" w:pos="708"/>
        </w:tabs>
        <w:spacing w:lineRule="auto" w:line="276" w:before="0" w:after="0"/>
        <w:ind w:left="0" w:hanging="0"/>
        <w:jc w:val="both"/>
        <w:rPr>
          <w:rFonts w:ascii="Times New Roman" w:hAnsi="Times New Roman" w:cs="Times New Roman"/>
          <w:sz w:val="28"/>
          <w:szCs w:val="28"/>
        </w:rPr>
      </w:pPr>
      <w:r>
        <w:rPr>
          <w:rFonts w:cs="Times New Roman" w:ascii="Times New Roman" w:hAnsi="Times New Roman"/>
          <w:b/>
          <w:bCs/>
          <w:sz w:val="28"/>
          <w:szCs w:val="28"/>
        </w:rPr>
        <w:t>Не за фахом</w:t>
      </w:r>
      <w:r>
        <w:rPr>
          <w:rFonts w:cs="Times New Roman" w:ascii="Times New Roman" w:hAnsi="Times New Roman"/>
          <w:sz w:val="28"/>
          <w:szCs w:val="28"/>
        </w:rPr>
        <w:t xml:space="preserve"> (через відсутність профільних кадрів) викладаються </w:t>
      </w:r>
      <w:r>
        <w:rPr>
          <w:rFonts w:cs="Times New Roman" w:ascii="Times New Roman" w:hAnsi="Times New Roman"/>
          <w:b/>
          <w:bCs/>
          <w:sz w:val="28"/>
          <w:szCs w:val="28"/>
        </w:rPr>
        <w:t>5 предметів</w:t>
      </w:r>
      <w:r>
        <w:rPr>
          <w:rFonts w:cs="Times New Roman" w:ascii="Times New Roman" w:hAnsi="Times New Roman"/>
          <w:sz w:val="28"/>
          <w:szCs w:val="28"/>
        </w:rPr>
        <w:t xml:space="preserve">: </w:t>
      </w:r>
      <w:r>
        <w:rPr>
          <w:rFonts w:cs="Times New Roman" w:ascii="Times New Roman" w:hAnsi="Times New Roman"/>
          <w:i/>
          <w:iCs/>
          <w:sz w:val="28"/>
          <w:szCs w:val="28"/>
        </w:rPr>
        <w:t>англійська мова, інформатика, мистецтво, технології, інтегрований курс «Здоров’я, безпека та добробут» (основи здоров'я)</w:t>
      </w:r>
      <w:r>
        <w:rPr>
          <w:rFonts w:cs="Times New Roman" w:ascii="Times New Roman" w:hAnsi="Times New Roman"/>
          <w:sz w:val="28"/>
          <w:szCs w:val="28"/>
        </w:rPr>
        <w:t>. Години розподілені як додаткове навантаження між штатними вчителями, які пройшли відповідні курси підвищення кваліфікації.</w:t>
      </w:r>
    </w:p>
    <w:p>
      <w:pPr>
        <w:pStyle w:val="Normal"/>
        <w:spacing w:lineRule="auto" w:line="276"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Наступний навчальний рік характеризується високим ризиком втрати кадрового потенціалу філії. Три вчителі пенсійного віку (які викладають хімію, біологію, географію та початкові класи) за станом здоров'я перенесли чергову атестацію, двоє з них повідомили про </w:t>
      </w:r>
      <w:r>
        <w:rPr>
          <w:rFonts w:cs="Times New Roman" w:ascii="Times New Roman" w:hAnsi="Times New Roman"/>
          <w:b/>
          <w:bCs/>
          <w:sz w:val="28"/>
          <w:szCs w:val="28"/>
        </w:rPr>
        <w:t>запланований вихід на пенсію з 1 вересня 2026 року</w:t>
      </w:r>
      <w:r>
        <w:rPr>
          <w:rFonts w:cs="Times New Roman" w:ascii="Times New Roman" w:hAnsi="Times New Roman"/>
          <w:sz w:val="28"/>
          <w:szCs w:val="28"/>
        </w:rPr>
        <w:t xml:space="preserve">, вчителька фізики (яка також викладала і інформатику) теж повідомила про </w:t>
      </w:r>
      <w:r>
        <w:rPr>
          <w:rFonts w:cs="Times New Roman" w:ascii="Times New Roman" w:hAnsi="Times New Roman"/>
          <w:b/>
          <w:bCs/>
          <w:sz w:val="28"/>
          <w:szCs w:val="28"/>
        </w:rPr>
        <w:t>запланований вихід на пенсію з 1 вересня 2026 року.</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 урахуванням цього, станом на 1 вересня 2026 року прогнозуються такі зміни:</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Вихід на пенсію (3 вчителі):</w:t>
      </w:r>
    </w:p>
    <w:p>
      <w:pPr>
        <w:pStyle w:val="Normal"/>
        <w:numPr>
          <w:ilvl w:val="1"/>
          <w:numId w:val="3"/>
        </w:numPr>
        <w:tabs>
          <w:tab w:val="clear" w:pos="708"/>
        </w:tabs>
        <w:spacing w:lineRule="auto" w:line="276" w:before="0" w:after="0"/>
        <w:ind w:left="0" w:firstLine="142"/>
        <w:jc w:val="both"/>
        <w:rPr>
          <w:rFonts w:ascii="Times New Roman" w:hAnsi="Times New Roman" w:cs="Times New Roman"/>
          <w:sz w:val="28"/>
          <w:szCs w:val="28"/>
        </w:rPr>
      </w:pPr>
      <w:r>
        <w:rPr>
          <w:rFonts w:cs="Times New Roman" w:ascii="Times New Roman" w:hAnsi="Times New Roman"/>
          <w:i/>
          <w:iCs/>
          <w:sz w:val="28"/>
          <w:szCs w:val="28"/>
        </w:rPr>
        <w:t>Вчитель біології та хімії:</w:t>
      </w:r>
      <w:r>
        <w:rPr>
          <w:rFonts w:cs="Times New Roman" w:ascii="Times New Roman" w:hAnsi="Times New Roman"/>
          <w:sz w:val="28"/>
          <w:szCs w:val="28"/>
        </w:rPr>
        <w:t xml:space="preserve"> години біології будуть забезпечені іншим штатним фахівцем-біологом; години хімії залишаються </w:t>
      </w:r>
      <w:r>
        <w:rPr>
          <w:rFonts w:cs="Times New Roman" w:ascii="Times New Roman" w:hAnsi="Times New Roman"/>
          <w:b/>
          <w:bCs/>
          <w:sz w:val="28"/>
          <w:szCs w:val="28"/>
        </w:rPr>
        <w:t>вакантними</w:t>
      </w:r>
      <w:r>
        <w:rPr>
          <w:rFonts w:cs="Times New Roman" w:ascii="Times New Roman" w:hAnsi="Times New Roman"/>
          <w:sz w:val="28"/>
          <w:szCs w:val="28"/>
        </w:rPr>
        <w:t>.</w:t>
      </w:r>
    </w:p>
    <w:p>
      <w:pPr>
        <w:pStyle w:val="Normal"/>
        <w:numPr>
          <w:ilvl w:val="1"/>
          <w:numId w:val="3"/>
        </w:numPr>
        <w:tabs>
          <w:tab w:val="clear" w:pos="708"/>
        </w:tabs>
        <w:spacing w:lineRule="auto" w:line="276" w:before="0" w:after="0"/>
        <w:ind w:left="0" w:firstLine="142"/>
        <w:jc w:val="both"/>
        <w:rPr>
          <w:rFonts w:ascii="Times New Roman" w:hAnsi="Times New Roman" w:cs="Times New Roman"/>
          <w:sz w:val="28"/>
          <w:szCs w:val="28"/>
        </w:rPr>
      </w:pPr>
      <w:r>
        <w:rPr>
          <w:rFonts w:cs="Times New Roman" w:ascii="Times New Roman" w:hAnsi="Times New Roman"/>
          <w:i/>
          <w:iCs/>
          <w:sz w:val="28"/>
          <w:szCs w:val="28"/>
        </w:rPr>
        <w:t>Вчитель фізики:</w:t>
      </w:r>
      <w:r>
        <w:rPr>
          <w:rFonts w:cs="Times New Roman" w:ascii="Times New Roman" w:hAnsi="Times New Roman"/>
          <w:sz w:val="28"/>
          <w:szCs w:val="28"/>
        </w:rPr>
        <w:t xml:space="preserve"> години стають </w:t>
      </w:r>
      <w:r>
        <w:rPr>
          <w:rFonts w:cs="Times New Roman" w:ascii="Times New Roman" w:hAnsi="Times New Roman"/>
          <w:b/>
          <w:bCs/>
          <w:sz w:val="28"/>
          <w:szCs w:val="28"/>
        </w:rPr>
        <w:t>вакантними</w:t>
      </w:r>
      <w:r>
        <w:rPr>
          <w:rFonts w:cs="Times New Roman" w:ascii="Times New Roman" w:hAnsi="Times New Roman"/>
          <w:sz w:val="28"/>
          <w:szCs w:val="28"/>
        </w:rPr>
        <w:t>.</w:t>
      </w:r>
    </w:p>
    <w:p>
      <w:pPr>
        <w:pStyle w:val="Normal"/>
        <w:numPr>
          <w:ilvl w:val="1"/>
          <w:numId w:val="3"/>
        </w:numPr>
        <w:tabs>
          <w:tab w:val="clear" w:pos="708"/>
        </w:tabs>
        <w:spacing w:lineRule="auto" w:line="276" w:before="0" w:after="0"/>
        <w:ind w:left="0" w:firstLine="142"/>
        <w:jc w:val="both"/>
        <w:rPr>
          <w:rFonts w:ascii="Times New Roman" w:hAnsi="Times New Roman" w:cs="Times New Roman"/>
          <w:sz w:val="28"/>
          <w:szCs w:val="28"/>
        </w:rPr>
      </w:pPr>
      <w:r>
        <w:rPr>
          <w:rFonts w:cs="Times New Roman" w:ascii="Times New Roman" w:hAnsi="Times New Roman"/>
          <w:i/>
          <w:iCs/>
          <w:sz w:val="28"/>
          <w:szCs w:val="28"/>
        </w:rPr>
        <w:t>Вчитель початкових класів:</w:t>
      </w:r>
      <w:r>
        <w:rPr>
          <w:rFonts w:cs="Times New Roman" w:ascii="Times New Roman" w:hAnsi="Times New Roman"/>
          <w:sz w:val="28"/>
          <w:szCs w:val="28"/>
        </w:rPr>
        <w:t xml:space="preserve"> відкривається </w:t>
      </w:r>
      <w:r>
        <w:rPr>
          <w:rFonts w:cs="Times New Roman" w:ascii="Times New Roman" w:hAnsi="Times New Roman"/>
          <w:b/>
          <w:bCs/>
          <w:sz w:val="28"/>
          <w:szCs w:val="28"/>
        </w:rPr>
        <w:t>вакансія класовода</w:t>
      </w:r>
      <w:r>
        <w:rPr>
          <w:rFonts w:cs="Times New Roman" w:ascii="Times New Roman" w:hAnsi="Times New Roman"/>
          <w:sz w:val="28"/>
          <w:szCs w:val="28"/>
        </w:rPr>
        <w:t>.</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Логістичний фактор:</w:t>
      </w:r>
    </w:p>
    <w:p>
      <w:pPr>
        <w:pStyle w:val="Normal"/>
        <w:numPr>
          <w:ilvl w:val="1"/>
          <w:numId w:val="3"/>
        </w:numPr>
        <w:tabs>
          <w:tab w:val="clear" w:pos="708"/>
        </w:tabs>
        <w:spacing w:lineRule="auto" w:line="276" w:before="0" w:after="0"/>
        <w:ind w:left="0" w:hanging="0"/>
        <w:jc w:val="both"/>
        <w:rPr>
          <w:rFonts w:ascii="Times New Roman" w:hAnsi="Times New Roman" w:cs="Times New Roman"/>
          <w:sz w:val="28"/>
          <w:szCs w:val="28"/>
        </w:rPr>
      </w:pPr>
      <w:r>
        <w:rPr>
          <w:rFonts w:cs="Times New Roman" w:ascii="Times New Roman" w:hAnsi="Times New Roman"/>
          <w:sz w:val="28"/>
          <w:szCs w:val="28"/>
        </w:rPr>
        <w:t>Класний керівник 1 класу проживає с. Дмитрівка, що створює додаткові логістичні ризики для закладу.</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Висновок:</w:t>
      </w:r>
      <w:r>
        <w:rPr>
          <w:rFonts w:cs="Times New Roman" w:ascii="Times New Roman" w:hAnsi="Times New Roman"/>
          <w:sz w:val="28"/>
          <w:szCs w:val="28"/>
        </w:rPr>
        <w:t xml:space="preserve"> У наступному навчальному році кадровий дефіцит філії може зрости з 5 до </w:t>
      </w:r>
      <w:r>
        <w:rPr>
          <w:rFonts w:cs="Times New Roman" w:ascii="Times New Roman" w:hAnsi="Times New Roman"/>
          <w:b/>
          <w:bCs/>
          <w:sz w:val="28"/>
          <w:szCs w:val="28"/>
        </w:rPr>
        <w:t>7–8 предметів</w:t>
      </w:r>
      <w:r>
        <w:rPr>
          <w:rFonts w:cs="Times New Roman" w:ascii="Times New Roman" w:hAnsi="Times New Roman"/>
          <w:sz w:val="28"/>
          <w:szCs w:val="28"/>
        </w:rPr>
        <w:t xml:space="preserve"> за рахунок вакансій з фізики, хімії та ризику незакритих позицій у початковій школі.</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3. Вибір батьків та учнів.</w:t>
      </w:r>
      <w:r>
        <w:rPr>
          <w:rFonts w:cs="Times New Roman" w:ascii="Times New Roman" w:hAnsi="Times New Roman"/>
          <w:sz w:val="28"/>
          <w:szCs w:val="28"/>
        </w:rPr>
        <w:t xml:space="preserve"> Протягом останніх 6-7 років спостерігається стійка тенденція: батьки та учні (навіть молодшого шкільного віку) самостійно обирають навчання безпосередньо у Дмитрівському ліцеї імені Т. Г. Шевченка. Наразі 22 учня з сіл Юхимове, Заломи, Іванківці щоденно користується шкільним автобусом, щоб навчатися у ліцеї за 25 км від дому. Батьки аргументують це кращими можливостями для розвитку дітей, попри необхідність раннього підйому. Батьки дітей із сіл Іванківці, Юхимове та Заломи продовжують переводити дітей до Дмитрівського ліцею імені Т. Г. Шевченка. </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4. Безпекове питання та підвезення.</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Щодо безпеки в умовах воєнного стану: </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підвезення здійснюється шкільним автобусом, який проходить регулярний технічний огляд (2 рази на рік);</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учнів супроводжує вчитель-вихователь, який постійно перебуває на зв’язку;</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маршрут розроблений з урахуванням безпекових протоколів та погоджений Уповноваженим підрозділом Національної поліції України.</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 Дмитрівському ліцеї імені Т. Г. Шевченка створені всі умови для перебування дітей в укритті (їх два) під час повітряних тривог.</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5. Економічна доцільність та ефективність</w:t>
      </w:r>
      <w:r>
        <w:rPr>
          <w:rFonts w:cs="Times New Roman" w:ascii="Times New Roman" w:hAnsi="Times New Roman"/>
          <w:sz w:val="28"/>
          <w:szCs w:val="28"/>
        </w:rPr>
        <w:t>. Вартість навчання одного учня у Іванковецькій філії становить 141 тис. грн на рік, що майже у 3,5 раза перевищує витрати на одного учня у Дмитрівському ліцеї імені Т. Г. Шевченка (43 тис. грн). В Іванковецькій філії працює 14 вчителів та 9 осіб молодшого обслуговуючого персоналу (одна ставка вакантна), 4 сезонні кочегари. Утримання такого персоналу для такої кількості дітей є неефективним використанням бюджетних коштів, які можуть бути спрямовані на покращення матеріально-технічної бази інших навчальних закладів (сучасні кабінети фізики, хімії, комп'ютерні класи), доступ до яких отримають і діти з села Іванківці.</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Станом на 08.04.2026 року у Дмитрівському ліцеї імені Т. Г. Шевченка Дмитрівської сільської ради навчається 374 учні, працює 24 вчителя-предметника, та практичний психолог, соціальний педагог, педагог-організатор, які обслуговують ліцей та філії, та 21 особа молодшого обслуговуючого персоналу.</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b/>
          <w:bCs/>
          <w:sz w:val="28"/>
          <w:szCs w:val="28"/>
        </w:rPr>
        <w:t>6. Системність інформування та відсутність реагування</w:t>
      </w:r>
      <w:r>
        <w:rPr>
          <w:rFonts w:cs="Times New Roman" w:ascii="Times New Roman" w:hAnsi="Times New Roman"/>
          <w:sz w:val="28"/>
          <w:szCs w:val="28"/>
        </w:rPr>
        <w:t>. Важливо зауважити, що питання критичного стану мережі Іванковецької філії та демографічної кризи у селі Іванківці не є раптовим. Протягом останніх трьох років адміністрація Дмитрівського ліцею імені Т. Г. Шевченка неодноразово (під час робочих зустрічей) інформувала завідуючу філією та педагогічний та батьківський колективи  про стрімке зменшення кількості учнів та ризики щодо подальшого функціонування закладу. Проте   з боку адміністрації, педагогічного та батьківського колективів Іванковецької філії не було вжито жодних дієвих заходів щодо залучення нових учнів, оптимізації витрат чи розробки стратегії збереження закладу. Ситуація була доведена до критичної точки, коли подальше відтермінування рішення про призупинення діяльності закладу стає загрозою для якості освіти дітей.</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Звертаємо Вашу увагу на те, що кількість учнів у класі комунального закладу освіти не може становити менше 5 учнів (ст. 12 Закону України «Про повну загальну середню освіту»)</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0" w:after="0"/>
        <w:rPr>
          <w:rFonts w:ascii="Times New Roman" w:hAnsi="Times New Roman" w:cs="Times New Roman"/>
          <w:sz w:val="28"/>
          <w:szCs w:val="28"/>
        </w:rPr>
      </w:pPr>
      <w:r>
        <w:rPr/>
      </w:r>
    </w:p>
    <w:sectPr>
      <w:type w:val="nextPage"/>
      <w:pgSz w:w="11906" w:h="16838"/>
      <w:pgMar w:left="1417"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uk-U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uk-UA" w:eastAsia="en-US" w:bidi="ar-SA"/>
      <w14:ligatures w14:val="standardContextual"/>
    </w:rPr>
  </w:style>
  <w:style w:type="paragraph" w:styleId="1">
    <w:name w:val="Heading 1"/>
    <w:basedOn w:val="Normal"/>
    <w:next w:val="Normal"/>
    <w:link w:val="10"/>
    <w:uiPriority w:val="9"/>
    <w:qFormat/>
    <w:rsid w:val="00a924ec"/>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0"/>
    <w:uiPriority w:val="9"/>
    <w:semiHidden/>
    <w:unhideWhenUsed/>
    <w:qFormat/>
    <w:rsid w:val="00a924ec"/>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0"/>
    <w:uiPriority w:val="9"/>
    <w:semiHidden/>
    <w:unhideWhenUsed/>
    <w:qFormat/>
    <w:rsid w:val="00a924ec"/>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0"/>
    <w:uiPriority w:val="9"/>
    <w:semiHidden/>
    <w:unhideWhenUsed/>
    <w:qFormat/>
    <w:rsid w:val="00a924ec"/>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0"/>
    <w:uiPriority w:val="9"/>
    <w:semiHidden/>
    <w:unhideWhenUsed/>
    <w:qFormat/>
    <w:rsid w:val="00a924ec"/>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0"/>
    <w:uiPriority w:val="9"/>
    <w:semiHidden/>
    <w:unhideWhenUsed/>
    <w:qFormat/>
    <w:rsid w:val="00a924ec"/>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0"/>
    <w:uiPriority w:val="9"/>
    <w:semiHidden/>
    <w:unhideWhenUsed/>
    <w:qFormat/>
    <w:rsid w:val="00a924ec"/>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0"/>
    <w:uiPriority w:val="9"/>
    <w:semiHidden/>
    <w:unhideWhenUsed/>
    <w:qFormat/>
    <w:rsid w:val="00a924ec"/>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0"/>
    <w:uiPriority w:val="9"/>
    <w:semiHidden/>
    <w:unhideWhenUsed/>
    <w:qFormat/>
    <w:rsid w:val="00a924ec"/>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11" w:customStyle="1">
    <w:name w:val="Заголовок 1 Знак"/>
    <w:basedOn w:val="DefaultParagraphFont"/>
    <w:link w:val="1"/>
    <w:uiPriority w:val="9"/>
    <w:qFormat/>
    <w:rsid w:val="00a924ec"/>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link w:val="2"/>
    <w:uiPriority w:val="9"/>
    <w:semiHidden/>
    <w:qFormat/>
    <w:rsid w:val="00a924ec"/>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link w:val="3"/>
    <w:uiPriority w:val="9"/>
    <w:semiHidden/>
    <w:qFormat/>
    <w:rsid w:val="00a924ec"/>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link w:val="4"/>
    <w:uiPriority w:val="9"/>
    <w:semiHidden/>
    <w:qFormat/>
    <w:rsid w:val="00a924ec"/>
    <w:rPr>
      <w:rFonts w:eastAsia="" w:cs="" w:cstheme="majorBidi" w:eastAsiaTheme="majorEastAsia"/>
      <w:i/>
      <w:iCs/>
      <w:color w:val="2F5496" w:themeColor="accent1" w:themeShade="bf"/>
    </w:rPr>
  </w:style>
  <w:style w:type="character" w:styleId="51" w:customStyle="1">
    <w:name w:val="Заголовок 5 Знак"/>
    <w:basedOn w:val="DefaultParagraphFont"/>
    <w:link w:val="5"/>
    <w:uiPriority w:val="9"/>
    <w:semiHidden/>
    <w:qFormat/>
    <w:rsid w:val="00a924ec"/>
    <w:rPr>
      <w:rFonts w:eastAsia="" w:cs="" w:cstheme="majorBidi" w:eastAsiaTheme="majorEastAsia"/>
      <w:color w:val="2F5496" w:themeColor="accent1" w:themeShade="bf"/>
    </w:rPr>
  </w:style>
  <w:style w:type="character" w:styleId="61" w:customStyle="1">
    <w:name w:val="Заголовок 6 Знак"/>
    <w:basedOn w:val="DefaultParagraphFont"/>
    <w:link w:val="6"/>
    <w:uiPriority w:val="9"/>
    <w:semiHidden/>
    <w:qFormat/>
    <w:rsid w:val="00a924ec"/>
    <w:rPr>
      <w:rFonts w:eastAsia="" w:cs="" w:cstheme="majorBidi" w:eastAsiaTheme="majorEastAsia"/>
      <w:i/>
      <w:iCs/>
      <w:color w:val="595959" w:themeColor="text1" w:themeTint="a6"/>
    </w:rPr>
  </w:style>
  <w:style w:type="character" w:styleId="71" w:customStyle="1">
    <w:name w:val="Заголовок 7 Знак"/>
    <w:basedOn w:val="DefaultParagraphFont"/>
    <w:link w:val="7"/>
    <w:uiPriority w:val="9"/>
    <w:semiHidden/>
    <w:qFormat/>
    <w:rsid w:val="00a924ec"/>
    <w:rPr>
      <w:rFonts w:eastAsia="" w:cs="" w:cstheme="majorBidi" w:eastAsiaTheme="majorEastAsia"/>
      <w:color w:val="595959" w:themeColor="text1" w:themeTint="a6"/>
    </w:rPr>
  </w:style>
  <w:style w:type="character" w:styleId="81" w:customStyle="1">
    <w:name w:val="Заголовок 8 Знак"/>
    <w:basedOn w:val="DefaultParagraphFont"/>
    <w:link w:val="8"/>
    <w:uiPriority w:val="9"/>
    <w:semiHidden/>
    <w:qFormat/>
    <w:rsid w:val="00a924ec"/>
    <w:rPr>
      <w:rFonts w:eastAsia="" w:cs="" w:cstheme="majorBidi" w:eastAsiaTheme="majorEastAsia"/>
      <w:i/>
      <w:iCs/>
      <w:color w:val="272727" w:themeColor="text1" w:themeTint="d8"/>
    </w:rPr>
  </w:style>
  <w:style w:type="character" w:styleId="91" w:customStyle="1">
    <w:name w:val="Заголовок 9 Знак"/>
    <w:basedOn w:val="DefaultParagraphFont"/>
    <w:link w:val="9"/>
    <w:uiPriority w:val="9"/>
    <w:semiHidden/>
    <w:qFormat/>
    <w:rsid w:val="00a924ec"/>
    <w:rPr>
      <w:rFonts w:eastAsia="" w:cs="" w:cstheme="majorBidi" w:eastAsiaTheme="majorEastAsia"/>
      <w:color w:val="272727" w:themeColor="text1" w:themeTint="d8"/>
    </w:rPr>
  </w:style>
  <w:style w:type="character" w:styleId="Style5" w:customStyle="1">
    <w:name w:val="Назва Знак"/>
    <w:basedOn w:val="DefaultParagraphFont"/>
    <w:link w:val="a3"/>
    <w:uiPriority w:val="10"/>
    <w:qFormat/>
    <w:rsid w:val="00a924ec"/>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ідзаголовок Знак"/>
    <w:basedOn w:val="DefaultParagraphFont"/>
    <w:link w:val="a5"/>
    <w:uiPriority w:val="11"/>
    <w:qFormat/>
    <w:rsid w:val="00a924ec"/>
    <w:rPr>
      <w:rFonts w:eastAsia="" w:cs="" w:cstheme="majorBidi" w:eastAsiaTheme="majorEastAsia"/>
      <w:color w:val="595959" w:themeColor="text1" w:themeTint="a6"/>
      <w:spacing w:val="15"/>
      <w:sz w:val="28"/>
      <w:szCs w:val="28"/>
    </w:rPr>
  </w:style>
  <w:style w:type="character" w:styleId="Style7" w:customStyle="1">
    <w:name w:val="Цитата Знак"/>
    <w:basedOn w:val="DefaultParagraphFont"/>
    <w:link w:val="a7"/>
    <w:uiPriority w:val="29"/>
    <w:qFormat/>
    <w:rsid w:val="00a924ec"/>
    <w:rPr>
      <w:i/>
      <w:iCs/>
      <w:color w:val="404040" w:themeColor="text1" w:themeTint="bf"/>
    </w:rPr>
  </w:style>
  <w:style w:type="character" w:styleId="IntenseEmphasis">
    <w:name w:val="Intense Emphasis"/>
    <w:basedOn w:val="DefaultParagraphFont"/>
    <w:uiPriority w:val="21"/>
    <w:qFormat/>
    <w:rsid w:val="00a924ec"/>
    <w:rPr>
      <w:i/>
      <w:iCs/>
      <w:color w:val="2F5496" w:themeColor="accent1" w:themeShade="bf"/>
    </w:rPr>
  </w:style>
  <w:style w:type="character" w:styleId="Style8" w:customStyle="1">
    <w:name w:val="Насичена цитата Знак"/>
    <w:basedOn w:val="DefaultParagraphFont"/>
    <w:link w:val="ab"/>
    <w:uiPriority w:val="30"/>
    <w:qFormat/>
    <w:rsid w:val="00a924ec"/>
    <w:rPr>
      <w:i/>
      <w:iCs/>
      <w:color w:val="2F5496" w:themeColor="accent1" w:themeShade="bf"/>
    </w:rPr>
  </w:style>
  <w:style w:type="character" w:styleId="IntenseReference">
    <w:name w:val="Intense Reference"/>
    <w:basedOn w:val="DefaultParagraphFont"/>
    <w:uiPriority w:val="32"/>
    <w:qFormat/>
    <w:rsid w:val="00a924ec"/>
    <w:rPr>
      <w:b/>
      <w:bCs/>
      <w:smallCaps/>
      <w:color w:val="2F5496" w:themeColor="accent1" w:themeShade="bf"/>
      <w:spacing w:val="5"/>
    </w:rPr>
  </w:style>
  <w:style w:type="paragraph" w:styleId="Style9">
    <w:name w:val="Заголовок"/>
    <w:basedOn w:val="Normal"/>
    <w:next w:val="Style10"/>
    <w:qFormat/>
    <w:pPr>
      <w:keepNext w:val="true"/>
      <w:spacing w:before="240" w:after="120"/>
    </w:pPr>
    <w:rPr>
      <w:rFonts w:ascii="Liberation Sans" w:hAnsi="Liberation Sans" w:eastAsia="Microsoft YaHei"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Покажчик"/>
    <w:basedOn w:val="Normal"/>
    <w:qFormat/>
    <w:pPr>
      <w:suppressLineNumbers/>
    </w:pPr>
    <w:rPr>
      <w:rFonts w:cs="Lucida Sans"/>
      <w:lang w:val="zxx" w:eastAsia="zxx" w:bidi="zxx"/>
    </w:rPr>
  </w:style>
  <w:style w:type="paragraph" w:styleId="Style14">
    <w:name w:val="Title"/>
    <w:basedOn w:val="Normal"/>
    <w:next w:val="Normal"/>
    <w:link w:val="a4"/>
    <w:uiPriority w:val="10"/>
    <w:qFormat/>
    <w:rsid w:val="00a924ec"/>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5">
    <w:name w:val="Subtitle"/>
    <w:basedOn w:val="Normal"/>
    <w:next w:val="Normal"/>
    <w:link w:val="a6"/>
    <w:uiPriority w:val="11"/>
    <w:qFormat/>
    <w:rsid w:val="00a924ec"/>
    <w:pPr/>
    <w:rPr>
      <w:rFonts w:eastAsia="" w:cs="" w:cstheme="majorBidi" w:eastAsiaTheme="majorEastAsia"/>
      <w:color w:val="595959" w:themeColor="text1" w:themeTint="a6"/>
      <w:spacing w:val="15"/>
      <w:sz w:val="28"/>
      <w:szCs w:val="28"/>
    </w:rPr>
  </w:style>
  <w:style w:type="paragraph" w:styleId="Quote">
    <w:name w:val="Quote"/>
    <w:basedOn w:val="Normal"/>
    <w:next w:val="Normal"/>
    <w:link w:val="a8"/>
    <w:uiPriority w:val="29"/>
    <w:qFormat/>
    <w:rsid w:val="00a924ec"/>
    <w:pPr>
      <w:spacing w:before="160" w:after="160"/>
      <w:jc w:val="center"/>
    </w:pPr>
    <w:rPr>
      <w:i/>
      <w:iCs/>
      <w:color w:val="404040" w:themeColor="text1" w:themeTint="bf"/>
    </w:rPr>
  </w:style>
  <w:style w:type="paragraph" w:styleId="ListParagraph">
    <w:name w:val="List Paragraph"/>
    <w:basedOn w:val="Normal"/>
    <w:uiPriority w:val="34"/>
    <w:qFormat/>
    <w:rsid w:val="00a924ec"/>
    <w:pPr>
      <w:spacing w:before="0" w:after="160"/>
      <w:ind w:left="720" w:hanging="0"/>
      <w:contextualSpacing/>
    </w:pPr>
    <w:rPr/>
  </w:style>
  <w:style w:type="paragraph" w:styleId="IntenseQuote">
    <w:name w:val="Intense Quote"/>
    <w:basedOn w:val="Normal"/>
    <w:next w:val="Normal"/>
    <w:link w:val="ac"/>
    <w:uiPriority w:val="30"/>
    <w:qFormat/>
    <w:rsid w:val="00a924ec"/>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iPriority w:val="99"/>
    <w:semiHidden/>
    <w:unhideWhenUsed/>
    <w:qFormat/>
    <w:rsid w:val="00ac6c5c"/>
    <w:pPr>
      <w:spacing w:lineRule="auto" w:line="240" w:beforeAutospacing="1" w:afterAutospacing="1"/>
    </w:pPr>
    <w:rPr>
      <w:rFonts w:ascii="Times New Roman" w:hAnsi="Times New Roman" w:eastAsia="Times New Roman" w:cs="Times New Roman"/>
      <w:kern w:val="0"/>
      <w:lang w:val="ru-RU" w:eastAsia="ru-RU"/>
      <w14:ligatures w14:val="none"/>
    </w:rPr>
  </w:style>
  <w:style w:type="paragraph" w:styleId="NoSpacing">
    <w:name w:val="No Spacing"/>
    <w:uiPriority w:val="1"/>
    <w:qFormat/>
    <w:rsid w:val="00ac6c5c"/>
    <w:pPr>
      <w:widowControl/>
      <w:suppressAutoHyphens w:val="true"/>
      <w:bidi w:val="0"/>
      <w:spacing w:lineRule="auto" w:line="240" w:before="0" w:after="0"/>
      <w:jc w:val="left"/>
    </w:pPr>
    <w:rPr>
      <w:rFonts w:ascii="Calibri" w:hAnsi="Calibri" w:eastAsia="Calibri" w:cs=""/>
      <w:color w:val="auto"/>
      <w:kern w:val="0"/>
      <w:sz w:val="22"/>
      <w:szCs w:val="22"/>
      <w:lang w:val="ru-RU" w:eastAsia="en-US" w:bidi="ar-SA"/>
      <w14:ligatures w14:val="none"/>
    </w:rPr>
  </w:style>
  <w:style w:type="paragraph" w:styleId="Docdata" w:customStyle="1">
    <w:name w:val="docdata"/>
    <w:basedOn w:val="Normal"/>
    <w:qFormat/>
    <w:rsid w:val="008a6da6"/>
    <w:pPr>
      <w:spacing w:lineRule="auto" w:line="240" w:beforeAutospacing="1" w:afterAutospacing="1"/>
    </w:pPr>
    <w:rPr>
      <w:rFonts w:ascii="Times New Roman" w:hAnsi="Times New Roman" w:eastAsia="Times New Roman" w:cs="Times New Roman"/>
      <w:kern w:val="0"/>
      <w:lang w:val="ru-RU" w:eastAsia="ru-RU"/>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rsid w:val="00394274"/>
    <w:pPr>
      <w:spacing w:after="0" w:line="240" w:lineRule="auto"/>
      <w:jc w:val="both"/>
    </w:pPr>
    <w:rPr>
      <w:lang w:val="ru-RU"/>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Application>LibreOffice/7.2.0.4$Windows_X86_64 LibreOffice_project/9a9c6381e3f7a62afc1329bd359cc48accb6435b</Application>
  <AppVersion>15.0000</AppVersion>
  <Pages>3</Pages>
  <Words>877</Words>
  <Characters>5468</Characters>
  <CharactersWithSpaces>6343</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2026-06-02T06:53:00Z</dcterms:created>
  <dc:creator>admin</dc:creator>
  <dc:description/>
  <dc:language>uk-UA</dc:language>
  <cp:lastModifiedBy/>
  <cp:lastPrinted>2026-06-02T08:49:00Z</cp:lastPrinted>
  <dcterms:modified xsi:type="dcterms:W3CDTF">2026-06-02T14:51:21Z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